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2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模拟展示课参赛需报送材料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spacing w:before="156" w:beforeLines="50" w:after="156" w:afterLines="50" w:line="300" w:lineRule="auto"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模拟展示课评分标准</w:t>
      </w:r>
    </w:p>
    <w:p>
      <w:pPr>
        <w:adjustRightInd w:val="0"/>
        <w:snapToGrid w:val="0"/>
        <w:spacing w:before="50" w:after="50" w:line="300" w:lineRule="auto"/>
        <w:rPr>
          <w:rFonts w:ascii="Times New Roman" w:hAnsi="Times New Roman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学习目标确定*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□3-4分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学习目标落实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□6-7分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□4-5分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□0-3分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8分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教学过程是否以学生为中心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是         □13-15分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大部分是   □11-12分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基本是     □7-10分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不是       □0-6分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融合点选择*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□27-30分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□21-26分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□15-20分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□0-14分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教学资源与软件*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□27-30分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□21-26分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□15-20分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□0-14分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□9-10分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□7-8分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</w:tbl>
    <w:p>
      <w:pPr>
        <w:rPr>
          <w:rFonts w:ascii="楷体_GB2312" w:hAnsi="宋体" w:eastAsia="楷体_GB2312" w:cs="Times New Roman"/>
          <w:color w:val="000000"/>
          <w:sz w:val="24"/>
          <w:szCs w:val="20"/>
        </w:rPr>
      </w:pPr>
      <w:r>
        <w:rPr>
          <w:rFonts w:hint="eastAsia" w:ascii="楷体_GB2312" w:hAnsi="宋体" w:eastAsia="楷体_GB2312" w:cs="Times New Roman"/>
          <w:color w:val="000000"/>
          <w:sz w:val="24"/>
          <w:szCs w:val="20"/>
        </w:rPr>
        <w:t>注：凡是标注为*的评分指标，得分低于60%，总分为0。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00" w:lineRule="auto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3379"/>
        <w:gridCol w:w="1660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学情分析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学生的认知规律与特点、已有知识与经验基础、思维能力水平等。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3.要充分考虑到电子白板、交互电视、电子书包等不同信息化环境的差异，要充分发挥云平台、数字校园和智慧教室的作用。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1.给出完整的教学流程图。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2.对每个教学重点要有突出的活动安排，每个难点要有突破的活动安排。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3.教学活动应尽可能任务化，有完整连续任务情境和体现能力成果的学习活动。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</w:t>
            </w:r>
            <w:r>
              <w:rPr>
                <w:rFonts w:hint="eastAsia" w:ascii="宋体" w:hAnsi="宋体" w:eastAsia="宋体" w:cs="Times New Roman"/>
                <w:szCs w:val="21"/>
              </w:rPr>
              <w:t>应尽可能运用资源与工具软件支持教学活动和学生智慧培养，要尽可能运用网络学习空间开展教学活动。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教学反思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1.影响教学效果的主要原因是什么？（例如任务设计的不合理、资源软件应用的不恰当等）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 为了进一步突出重点突破难点，设计怎样的任务情境会更有效?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 为了进一步突出重点突破难点，设计怎样的学习活动会更有效?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 为了进一步突出重点突破难点，应用怎样的资源或软件会更有效?</w:t>
            </w:r>
          </w:p>
        </w:tc>
      </w:tr>
    </w:tbl>
    <w:p>
      <w:pPr>
        <w:spacing w:line="300" w:lineRule="auto"/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>
      <w:pPr>
        <w:spacing w:line="300" w:lineRule="auto"/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/>
    <w:p>
      <w:pPr>
        <w:spacing w:before="156" w:beforeLines="50" w:after="156" w:afterLines="50" w:line="300" w:lineRule="auto"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教学资源技术规范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一、命名规范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文件命名标准统一，均以《课题名称》+教师姓名+空格+资源类型命名。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如：《一次函数的图象与性质》李明 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说课课件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说课实录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二、文本——教学设计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1．一节课的教学设计应包括教学内容分析，教学对象分析，教学目标，教学重点、难点分析及解决办法，教学过程等方面。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 Microsoft Office Word 2013版本。纸张为A4；页面大小要求A4标准页面，上下边距要求2.54厘米，左右边距要求3.18厘米（即Microsoft Office Word默认格式），纵向纸张方向。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3．页码位置：页面底端（页脚）；对齐方式：居中；格式：1，2，3……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4．主标题为宋体或黑体（英文：Times New Roman）三号字加粗居中，中文课题名称要加书名号，段前、段后1倍行间距。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5．内容各级标题序号依次为一，（一），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，（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），①等。具体要求如下：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（1）一级标题顶格，宋体或黑体（英文：Times New Roman）四号字加粗，编号后加顿号，如“一、”；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（2）二级标题首行缩进2字符，宋体（英文：Times New Roman）小四号字加粗，编号括号后不加标点，如：“（一）”为正确，“（一）、”为错误；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（3）三级标题首行缩进2字符，宋体或楷体（英文：Times New Roman）小四号字加粗，编号后的“圆点”要求为全角（英文排版例外），加“顿号”为错误，如：“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．”为正确，“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.”“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、”都错误；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（4）四级及四级以下标题首行缩进2字符，宋体（英文：Times New Roman）小四号字，其中四级标题序号中的括号为中文全角（英文排版例外），如：“（</w:t>
      </w:r>
      <w:r>
        <w:rPr>
          <w:rFonts w:ascii="宋体" w:hAnsi="宋体" w:eastAsia="宋体" w:cs="Times New Roman"/>
          <w:sz w:val="24"/>
          <w:szCs w:val="20"/>
        </w:rPr>
        <w:t>4</w:t>
      </w:r>
      <w:r>
        <w:rPr>
          <w:rFonts w:hint="eastAsia" w:ascii="宋体" w:hAnsi="宋体" w:eastAsia="宋体" w:cs="Times New Roman"/>
          <w:sz w:val="24"/>
          <w:szCs w:val="20"/>
        </w:rPr>
        <w:t>）”为正确，“</w:t>
      </w:r>
      <w:r>
        <w:rPr>
          <w:rFonts w:ascii="宋体" w:hAnsi="宋体" w:eastAsia="宋体" w:cs="Times New Roman"/>
          <w:sz w:val="24"/>
          <w:szCs w:val="20"/>
        </w:rPr>
        <w:t>(4)</w:t>
      </w:r>
      <w:r>
        <w:rPr>
          <w:rFonts w:hint="eastAsia" w:ascii="宋体" w:hAnsi="宋体" w:eastAsia="宋体" w:cs="Times New Roman"/>
          <w:sz w:val="24"/>
          <w:szCs w:val="20"/>
        </w:rPr>
        <w:t>”为错误；</w:t>
      </w:r>
      <w:r>
        <w:rPr>
          <w:rFonts w:ascii="宋体" w:hAnsi="宋体" w:eastAsia="宋体" w:cs="Times New Roman"/>
          <w:sz w:val="24"/>
          <w:szCs w:val="20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（5）标题一般末尾不加标点，如果序号后面的文字是说明内容的，不做标题看待，末尾要有标点。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6．正文宋体（英文：Times New Roman）小四号字或五号字，</w:t>
      </w:r>
      <w:r>
        <w:rPr>
          <w:rFonts w:ascii="宋体" w:hAnsi="宋体" w:eastAsia="宋体" w:cs="Times New Roman"/>
          <w:sz w:val="24"/>
          <w:szCs w:val="20"/>
        </w:rPr>
        <w:t>1.25</w:t>
      </w:r>
      <w:r>
        <w:rPr>
          <w:rFonts w:hint="eastAsia" w:ascii="宋体" w:hAnsi="宋体" w:eastAsia="宋体" w:cs="Times New Roman"/>
          <w:sz w:val="24"/>
          <w:szCs w:val="20"/>
        </w:rPr>
        <w:t>倍行距，段前、段后</w:t>
      </w:r>
      <w:r>
        <w:rPr>
          <w:rFonts w:ascii="宋体" w:hAnsi="宋体" w:eastAsia="宋体" w:cs="Times New Roman"/>
          <w:sz w:val="24"/>
          <w:szCs w:val="20"/>
        </w:rPr>
        <w:t>0.5</w:t>
      </w:r>
      <w:r>
        <w:rPr>
          <w:rFonts w:hint="eastAsia" w:ascii="宋体" w:hAnsi="宋体" w:eastAsia="宋体" w:cs="Times New Roman"/>
          <w:sz w:val="24"/>
          <w:szCs w:val="20"/>
        </w:rPr>
        <w:t>倍行间距，首行缩进2字符。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．图片不能过大，图片标题为宋体或黑体，小四号字或五号字，在图片下方居中。组合图形（如流程图）应采用“组合”格式或画在同一画布上。教学流程图常用的几何图形，并无统一标准。以下所列图例仅供参考，如使用其他图例请标明含义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300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图   例</w:t>
            </w:r>
          </w:p>
        </w:tc>
        <w:tc>
          <w:tcPr>
            <w:tcW w:w="534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意 义 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30480</wp:posOffset>
                  </wp:positionV>
                  <wp:extent cx="1028700" cy="365760"/>
                  <wp:effectExtent l="0" t="0" r="0" b="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开始，结束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5715</wp:posOffset>
                  </wp:positionV>
                  <wp:extent cx="1000125" cy="341630"/>
                  <wp:effectExtent l="0" t="0" r="9525" b="127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教学内容，教师活动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82550</wp:posOffset>
                  </wp:positionV>
                  <wp:extent cx="1038225" cy="211455"/>
                  <wp:effectExtent l="0" t="0" r="9525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112395</wp:posOffset>
                  </wp:positionV>
                  <wp:extent cx="1038225" cy="238125"/>
                  <wp:effectExtent l="0" t="0" r="9525" b="952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选择，判断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701675</wp:posOffset>
                  </wp:positionH>
                  <wp:positionV relativeFrom="paragraph">
                    <wp:posOffset>92710</wp:posOffset>
                  </wp:positionV>
                  <wp:extent cx="563880" cy="305435"/>
                  <wp:effectExtent l="0" t="0" r="762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100965</wp:posOffset>
                  </wp:positionV>
                  <wp:extent cx="400050" cy="302260"/>
                  <wp:effectExtent l="0" t="0" r="0" b="254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教师运用教学资源完成教学活动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147320</wp:posOffset>
                      </wp:positionV>
                      <wp:extent cx="635" cy="198120"/>
                      <wp:effectExtent l="17780" t="13335" r="10160" b="1714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65pt;margin-top:11.6pt;height:15.6pt;width:0.05pt;z-index:251668480;mso-width-relative:page;mso-height-relative:page;" filled="f" stroked="t" coordsize="21600,21600" o:gfxdata="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+3LEdcAAAAJAQAADwAAAAAAAAABACAAAAAiAAAAZHJzL2Rvd25yZXYueG1sUEsBAhQAFAAAAAgA&#10;h07iQAldokrtAQAAtwMAAA4AAAAAAAAAAQAgAAAAJgEAAGRycy9lMm9Eb2MueG1sUEsFBgAAAAAG&#10;AAYAWQEAAIUF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149225</wp:posOffset>
                  </wp:positionV>
                  <wp:extent cx="1038225" cy="211455"/>
                  <wp:effectExtent l="0" t="0" r="952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学生运用学习资源完成学习活动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98425</wp:posOffset>
                  </wp:positionV>
                  <wp:extent cx="895350" cy="28575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流程线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30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47625</wp:posOffset>
                      </wp:positionV>
                      <wp:extent cx="504825" cy="504825"/>
                      <wp:effectExtent l="17780" t="15240" r="10795" b="13335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504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6.65pt;margin-top:3.75pt;height:39.75pt;width:39.75pt;z-index:251659264;mso-width-relative:page;mso-height-relative:page;" fillcolor="#FFFFFF" filled="t" stroked="t" coordsize="21600,21600" o:gfxdata="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G9rOtcAAAAHAQAADwAAAAAAAAABACAAAAAiAAAAZHJzL2Rvd25yZXYueG1s&#10;UEsBAhQAFAAAAAgAh07iQK5pkl0yAgAAcAQAAA4AAAAAAAAAAQAgAAAAJgEAAGRycy9lMm9Eb2Mu&#10;eG1sUEsFBgAAAAAGAAYAWQEAAMoFAAAAAA==&#10;">
                      <v:fill on="t" focussize="0,0"/>
                      <v:stroke weight="1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34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重要教学内容</w:t>
            </w:r>
          </w:p>
        </w:tc>
      </w:tr>
    </w:tbl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8．表格的标题为宋体或黑体（英文：Times New Roman），小四号字或五号字，在表格上方居中；表格内文字标题、内容为宋体（英文：Times New Roman）五号字，单倍行间距。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9．对正文进行说明用“小括号”， 宋体（英文：Times New Roman）小四号字或五号字；教学设计意图用“中括号”（“【】”）， 楷体小四号字或五号字，可放在相对应的教学环节之下。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三、图片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，256MB DDR内存以上配置的计算机上稳定、正常运行。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</w:t>
      </w:r>
      <w:r>
        <w:rPr>
          <w:rFonts w:hint="eastAsia" w:ascii="宋体" w:hAnsi="宋体" w:eastAsia="宋体" w:cs="Times New Roman"/>
          <w:sz w:val="24"/>
          <w:szCs w:val="20"/>
        </w:rPr>
        <w:t>bmp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jpg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gif、png</w:t>
      </w:r>
      <w:r>
        <w:rPr>
          <w:rFonts w:ascii="宋体" w:hAnsi="宋体" w:eastAsia="宋体" w:cs="Times New Roman"/>
          <w:sz w:val="24"/>
          <w:szCs w:val="20"/>
        </w:rPr>
        <w:t>格式），尽量避免安装特殊播放程序。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3．除特殊要求外，图片像素大小</w:t>
      </w:r>
      <w:r>
        <w:rPr>
          <w:rFonts w:ascii="宋体" w:hAnsi="宋体" w:eastAsia="宋体" w:cs="Times New Roman"/>
          <w:sz w:val="24"/>
          <w:szCs w:val="20"/>
        </w:rPr>
        <w:t>不低于6</w:t>
      </w:r>
      <w:r>
        <w:rPr>
          <w:rFonts w:hint="eastAsia" w:ascii="宋体" w:hAnsi="宋体" w:eastAsia="宋体" w:cs="Times New Roman"/>
          <w:sz w:val="24"/>
          <w:szCs w:val="20"/>
        </w:rPr>
        <w:t>4</w:t>
      </w:r>
      <w:r>
        <w:rPr>
          <w:rFonts w:ascii="宋体" w:hAnsi="宋体" w:eastAsia="宋体" w:cs="Times New Roman"/>
          <w:sz w:val="24"/>
          <w:szCs w:val="20"/>
        </w:rPr>
        <w:t xml:space="preserve">0 </w:t>
      </w:r>
      <w:r>
        <w:rPr>
          <w:rFonts w:hint="eastAsia" w:ascii="宋体" w:hAnsi="宋体" w:eastAsia="宋体" w:cs="Times New Roman"/>
          <w:sz w:val="24"/>
          <w:szCs w:val="20"/>
        </w:rPr>
        <w:t>*</w:t>
      </w:r>
      <w:r>
        <w:rPr>
          <w:rFonts w:ascii="宋体" w:hAnsi="宋体" w:eastAsia="宋体" w:cs="Times New Roman"/>
          <w:sz w:val="24"/>
          <w:szCs w:val="20"/>
        </w:rPr>
        <w:t>480</w:t>
      </w:r>
      <w:r>
        <w:rPr>
          <w:rFonts w:hint="eastAsia" w:ascii="宋体" w:hAnsi="宋体" w:eastAsia="宋体" w:cs="Times New Roman"/>
          <w:sz w:val="24"/>
          <w:szCs w:val="20"/>
        </w:rPr>
        <w:t>（低于此标准需加以说明）。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四、音频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数字化音频的采样频率</w:t>
      </w:r>
      <w:r>
        <w:rPr>
          <w:rFonts w:hint="eastAsia" w:ascii="宋体" w:hAnsi="宋体" w:eastAsia="宋体" w:cs="Times New Roman"/>
          <w:sz w:val="24"/>
          <w:szCs w:val="20"/>
        </w:rPr>
        <w:t>不低于48</w:t>
      </w:r>
      <w:r>
        <w:rPr>
          <w:rFonts w:ascii="宋体" w:hAnsi="宋体" w:eastAsia="宋体" w:cs="Times New Roman"/>
          <w:sz w:val="24"/>
          <w:szCs w:val="20"/>
        </w:rPr>
        <w:t xml:space="preserve"> KHZ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量化位数为</w:t>
      </w:r>
      <w:r>
        <w:rPr>
          <w:rFonts w:hint="eastAsia" w:ascii="宋体" w:hAnsi="宋体" w:eastAsia="宋体" w:cs="Times New Roman"/>
          <w:sz w:val="24"/>
          <w:szCs w:val="20"/>
        </w:rPr>
        <w:t>16</w:t>
      </w:r>
      <w:r>
        <w:rPr>
          <w:rFonts w:ascii="宋体" w:hAnsi="宋体" w:eastAsia="宋体" w:cs="Times New Roman"/>
          <w:sz w:val="24"/>
          <w:szCs w:val="20"/>
        </w:rPr>
        <w:t>位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声道数为双声道。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采用国际通行的文件格式（mp3</w:t>
      </w:r>
      <w:r>
        <w:rPr>
          <w:rFonts w:hint="eastAsia" w:ascii="宋体" w:hAnsi="宋体" w:eastAsia="宋体" w:cs="Times New Roman"/>
          <w:sz w:val="24"/>
          <w:szCs w:val="20"/>
        </w:rPr>
        <w:t>、wav或wma</w:t>
      </w:r>
      <w:r>
        <w:rPr>
          <w:rFonts w:ascii="宋体" w:hAnsi="宋体" w:eastAsia="宋体" w:cs="Times New Roman"/>
          <w:sz w:val="24"/>
          <w:szCs w:val="20"/>
        </w:rPr>
        <w:t>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声音清晰、饱满、圆润，无失真、噪声杂音干扰、音量忽大忽小等现象。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五、视频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记录制式：PAL/D制式</w:t>
      </w:r>
      <w:r>
        <w:rPr>
          <w:rFonts w:hint="eastAsia" w:ascii="宋体" w:hAnsi="宋体" w:eastAsia="宋体" w:cs="Times New Roman"/>
          <w:sz w:val="24"/>
          <w:szCs w:val="20"/>
        </w:rPr>
        <w:t>；格式：wmv、asf（资源库）、mpeg/DVD（光盘）或flv（教学平台或网页）</w:t>
      </w:r>
      <w:r>
        <w:rPr>
          <w:rFonts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录制节目所用的信号源，应符合《彩色电视广播GB3174－82》的规定。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视频信号与画面质量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稳定性：全片图像同步性能稳定，无失步现象，CTL同步控制信号必须连续；图像无抖动跳跃，色彩无突变，编辑点处图像稳定。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清晰度：12bit量化级数，抽样比4:2:2，码流50Mbps以上。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色调：白平衡正确，无明显偏色，多机拍摄的镜头衔接处无明显色差。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</w:t>
      </w:r>
      <w:r>
        <w:rPr>
          <w:rFonts w:ascii="宋体" w:hAnsi="宋体" w:eastAsia="宋体" w:cs="Times New Roman"/>
          <w:sz w:val="24"/>
          <w:szCs w:val="20"/>
        </w:rPr>
        <w:t>音频信号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声道：现场声记录于第1声道，解说声记录于第2声道 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音电平：标准电平为0VU，音响电平应在－10～0vU电平指数之间。声音应无明显失真、放音过冲、过弱。音频信噪比不低于48db。</w:t>
      </w:r>
      <w:r>
        <w:rPr>
          <w:rFonts w:hint="eastAsia" w:ascii="宋体" w:hAnsi="宋体" w:eastAsia="宋体" w:cs="Times New Roman"/>
          <w:sz w:val="24"/>
          <w:szCs w:val="20"/>
        </w:rPr>
        <w:t>没有</w:t>
      </w:r>
      <w:r>
        <w:rPr>
          <w:rFonts w:ascii="宋体" w:hAnsi="宋体" w:eastAsia="宋体" w:cs="Times New Roman"/>
          <w:sz w:val="24"/>
          <w:szCs w:val="20"/>
        </w:rPr>
        <w:t>交流声或其它杂音等缺陷。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节目伴音清晰、饱满、圆润，无失真、噪声杂音干扰、音量忽大忽小现象。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</w:t>
      </w:r>
      <w:r>
        <w:rPr>
          <w:rFonts w:ascii="宋体" w:hAnsi="宋体" w:eastAsia="宋体" w:cs="Times New Roman"/>
          <w:sz w:val="24"/>
          <w:szCs w:val="20"/>
        </w:rPr>
        <w:t>音频要求：语言≤-10dBFs  瞬间=-10dBFs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</w:t>
      </w:r>
      <w:r>
        <w:rPr>
          <w:rFonts w:ascii="宋体" w:hAnsi="宋体" w:eastAsia="宋体" w:cs="Times New Roman"/>
          <w:sz w:val="24"/>
          <w:szCs w:val="20"/>
        </w:rPr>
        <w:t>音乐≤-5dBFs   瞬间=-5dBFs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</w:t>
      </w:r>
      <w:r>
        <w:rPr>
          <w:rFonts w:ascii="宋体" w:hAnsi="宋体" w:eastAsia="宋体" w:cs="Times New Roman"/>
          <w:sz w:val="24"/>
          <w:szCs w:val="20"/>
        </w:rPr>
        <w:t>最低音频幅度不能长时间≤-25dBFs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</w:t>
      </w:r>
      <w:r>
        <w:rPr>
          <w:rFonts w:ascii="宋体" w:hAnsi="宋体" w:eastAsia="宋体" w:cs="Times New Roman"/>
          <w:sz w:val="24"/>
          <w:szCs w:val="20"/>
        </w:rPr>
        <w:t>解说声与现场声无明显比例失调；解说声与背景音乐无明显比例失调。声音和画面同步。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六、动画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1．动画要求是flash或几何画板制作，文件格式为swf，gsp（几何画板5.0版本）或exe</w:t>
      </w:r>
      <w:r>
        <w:rPr>
          <w:rFonts w:ascii="宋体" w:hAnsi="宋体" w:eastAsia="宋体" w:cs="Times New Roman"/>
          <w:sz w:val="24"/>
          <w:szCs w:val="20"/>
        </w:rPr>
        <w:t>，尽量避免安装特殊播放程序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2．动画页面色彩搭配合理，文字使用得当，各页面有合理的链接按钮。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3．动画中所采用的视频为wmv，asf，flv等流媒体格式，画面播放清晰流畅。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4．动画中的音频为mp3、wma或wav格式，声音清晰、饱满、圆润，无失真、噪声杂音干扰、音量忽大忽小等现象</w:t>
      </w:r>
      <w:r>
        <w:rPr>
          <w:rFonts w:ascii="宋体" w:hAnsi="宋体" w:eastAsia="宋体" w:cs="Times New Roman"/>
          <w:sz w:val="24"/>
          <w:szCs w:val="20"/>
        </w:rPr>
        <w:t>，声音和画面同步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5．动画中图片压缩比不小于80%。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</w:t>
      </w:r>
      <w:r>
        <w:rPr>
          <w:rFonts w:hint="eastAsia" w:ascii="宋体" w:hAnsi="宋体" w:eastAsia="宋体" w:cs="Times New Roman"/>
          <w:sz w:val="24"/>
          <w:szCs w:val="20"/>
        </w:rPr>
        <w:t>512</w:t>
      </w:r>
      <w:r>
        <w:rPr>
          <w:rFonts w:ascii="宋体" w:hAnsi="宋体" w:eastAsia="宋体" w:cs="Times New Roman"/>
          <w:sz w:val="24"/>
          <w:szCs w:val="20"/>
        </w:rPr>
        <w:t>MB DDR内存以上配置的计算机上正常、稳定运行。</w:t>
      </w:r>
      <w:r>
        <w:rPr>
          <w:rFonts w:hint="eastAsia" w:ascii="宋体" w:hAnsi="宋体" w:eastAsia="宋体" w:cs="Times New Roman"/>
          <w:sz w:val="24"/>
          <w:szCs w:val="20"/>
        </w:rPr>
        <w:t>动画</w:t>
      </w:r>
      <w:r>
        <w:rPr>
          <w:rFonts w:ascii="宋体" w:hAnsi="宋体" w:eastAsia="宋体" w:cs="Times New Roman"/>
          <w:sz w:val="24"/>
          <w:szCs w:val="20"/>
        </w:rPr>
        <w:t>播放清晰流畅</w:t>
      </w:r>
      <w:r>
        <w:rPr>
          <w:rFonts w:hint="eastAsia" w:ascii="宋体" w:hAnsi="宋体" w:eastAsia="宋体" w:cs="Times New Roman"/>
          <w:sz w:val="24"/>
          <w:szCs w:val="20"/>
        </w:rPr>
        <w:t>；</w:t>
      </w:r>
      <w:r>
        <w:rPr>
          <w:rFonts w:ascii="宋体" w:hAnsi="宋体" w:eastAsia="宋体" w:cs="Times New Roman"/>
          <w:sz w:val="24"/>
          <w:szCs w:val="20"/>
        </w:rPr>
        <w:t>各种操作按钮指示明确，所有链接均能正常打开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七、PPT文稿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1．Microsoft Office PowerPoint 2013版本，PPT页面色彩搭配合理，各页面有合理的链接按钮。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2．排版规范、字体大小适中、布局合理。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3．课件中所采用的视频为wmv，asf等流媒体格式，画面播放清晰流畅。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4．课件中的音频为mp3或wma格式，声音清晰、饱满、圆润，无失真、噪声杂音干扰、音量忽大忽小等现象。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5．课件中的图片为jpg格式或gif格式。要求图片影像清晰，不要带有多余的链接和其他公司或组织的标识。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6．课件中的Flash动画要求插入到幻灯片中播放，如使用Shockwave Flash Object控件插入Flash对象。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7. 课件中链接的资源，需要链接教学过程中使用的视频、音频、图片、动画等资源，资源需要以完全嵌入的方式插入到PowerPoint 2013中，保存为1个文件。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八、网页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1．浏览器兼容性测试支持IE、火狐等主流浏览器。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2．网页在1024*768分辨率下观看效果理想，同时在其它分辨率下无变形。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板块布局合理，各部分色彩搭配自然</w:t>
      </w:r>
      <w:r>
        <w:rPr>
          <w:rFonts w:hint="eastAsia" w:ascii="宋体" w:hAnsi="宋体" w:eastAsia="宋体" w:cs="Times New Roman"/>
          <w:sz w:val="24"/>
          <w:szCs w:val="20"/>
        </w:rPr>
        <w:t>，页面格式排版要简洁美观。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网页中链接的资源存放合理有序，确保网络传输中链接全部有效，没有无效链接。注：网页中所有的文件或文件夹名均需使用阿拉伯数字、拼音或英文，且所有文件扩展名要为小写，以避免与一些资源库软件不兼容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5．网页中视频格式为wmv、asf或flv，音频格式为mp3或wma。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0YWQzMDNiY2VhZWJjZmUyN2ExNjgwZDg5OGFjMWYifQ=="/>
  </w:docVars>
  <w:rsids>
    <w:rsidRoot w:val="00717703"/>
    <w:rsid w:val="00242FCC"/>
    <w:rsid w:val="002F4559"/>
    <w:rsid w:val="00454F0A"/>
    <w:rsid w:val="00717703"/>
    <w:rsid w:val="00952DEC"/>
    <w:rsid w:val="00E67AC8"/>
    <w:rsid w:val="5592326C"/>
    <w:rsid w:val="647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670</Words>
  <Characters>3820</Characters>
  <Lines>31</Lines>
  <Paragraphs>8</Paragraphs>
  <TotalTime>1</TotalTime>
  <ScaleCrop>false</ScaleCrop>
  <LinksUpToDate>false</LinksUpToDate>
  <CharactersWithSpaces>4482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2022-05-30T02:48:00Z</dcterms:created>
  <dc:creator>rui liu</dc:creator>
  <cp:lastModifiedBy>小灰灰</cp:lastModifiedBy>
  <dcterms:modified xsi:type="dcterms:W3CDTF">2023-06-14T06:41:27Z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93B327F1BD9A4A6683F6E5D997C27B13</vt:lpwstr>
  </property>
</Properties>
</file>